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E0AB" w14:textId="77777777" w:rsidR="005F5293" w:rsidRPr="00470F87" w:rsidRDefault="005F5293" w:rsidP="005F5293">
      <w:pPr>
        <w:keepLines/>
        <w:spacing w:line="256" w:lineRule="auto"/>
        <w:jc w:val="center"/>
        <w:rPr>
          <w:rFonts w:ascii="Verdana" w:eastAsia="Calibri" w:hAnsi="Verdana" w:cs="Times New Roman"/>
          <w:b/>
          <w:bCs/>
          <w:color w:val="C45911" w:themeColor="accent2" w:themeShade="BF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color w:val="C45911" w:themeColor="accent2" w:themeShade="BF"/>
          <w:sz w:val="16"/>
          <w:szCs w:val="16"/>
          <w:lang w:val="es-CO"/>
        </w:rPr>
        <w:t>CIRCUITO HERENCIA AMERICANA / 8 días – 7 noches</w:t>
      </w:r>
    </w:p>
    <w:p w14:paraId="3ACFE041" w14:textId="77777777" w:rsidR="005F5293" w:rsidRPr="00470F87" w:rsidRDefault="005F5293" w:rsidP="005F5293">
      <w:pPr>
        <w:keepLines/>
        <w:spacing w:line="240" w:lineRule="auto"/>
        <w:contextualSpacing/>
        <w:jc w:val="center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5</w:t>
      </w:r>
    </w:p>
    <w:tbl>
      <w:tblPr>
        <w:tblStyle w:val="TableGrid1"/>
        <w:tblW w:w="5215" w:type="dxa"/>
        <w:tblInd w:w="0" w:type="dxa"/>
        <w:tblLook w:val="04A0" w:firstRow="1" w:lastRow="0" w:firstColumn="1" w:lastColumn="0" w:noHBand="0" w:noVBand="1"/>
      </w:tblPr>
      <w:tblGrid>
        <w:gridCol w:w="5215"/>
      </w:tblGrid>
      <w:tr w:rsidR="005F5293" w:rsidRPr="00147CFD" w14:paraId="1259CC98" w14:textId="77777777" w:rsidTr="005809AD">
        <w:trPr>
          <w:trHeight w:val="340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92D" w14:textId="77777777" w:rsidR="005F5293" w:rsidRPr="00470F87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12960BD7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DBL-$2077; TWN-$2127; TPL-$1797;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1617;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SGL-$3137; CHD-$1137 </w:t>
            </w:r>
          </w:p>
          <w:p w14:paraId="2150FE70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  <w:t>Mar 07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Pr="001E782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Dic 30**</w:t>
            </w:r>
          </w:p>
          <w:p w14:paraId="3B3DE588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09B59E3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DBL-$2117; TWN-$2187; TPL-$1847;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1667;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SGL-$3117; CHD-$1137 </w:t>
            </w:r>
          </w:p>
          <w:p w14:paraId="72D43E3E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Pr="001E782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 14*</w:t>
            </w: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, Jun 27; Jul 11,18,25; </w:t>
            </w:r>
            <w:proofErr w:type="spellStart"/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Ago</w:t>
            </w:r>
            <w:proofErr w:type="spellEnd"/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01,08,15</w:t>
            </w:r>
          </w:p>
          <w:p w14:paraId="5364B620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9ABCF27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DBL-$2247; TWN-$2277; TPL-$1897;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1707;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SGL-$3377; CHD-$1137 </w:t>
            </w:r>
          </w:p>
          <w:p w14:paraId="2F36E9BB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  <w:t>May 02,30; Jun 13,20</w:t>
            </w:r>
          </w:p>
          <w:p w14:paraId="68B16740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8D2E48E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DBL-$2277; TWN-$2307; TPL-$1927;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1727;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SGL-$3447; CHD-$1137 </w:t>
            </w:r>
          </w:p>
          <w:p w14:paraId="4D97016A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  <w:t>Oct 03</w:t>
            </w:r>
          </w:p>
          <w:p w14:paraId="351E13A7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DE4C6D5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DBL-$2417; TWN-$2447; TPL-$2017;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1797;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SGL-$3717; CHD-$1137 </w:t>
            </w:r>
          </w:p>
          <w:p w14:paraId="2CACB910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proofErr w:type="spellStart"/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12</w:t>
            </w:r>
          </w:p>
          <w:p w14:paraId="794472ED" w14:textId="77777777" w:rsidR="005F5293" w:rsidRPr="00470F87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51F9DF50" w14:textId="77777777" w:rsidR="005F5293" w:rsidRPr="00470F87" w:rsidRDefault="005F5293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470F87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5</w:t>
            </w:r>
            <w:r w:rsidRPr="00470F87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lunes</w:t>
            </w:r>
            <w:r w:rsidRPr="00470F87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,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abril 14</w:t>
            </w:r>
          </w:p>
          <w:p w14:paraId="79F8EB95" w14:textId="77777777" w:rsidR="005F5293" w:rsidRPr="00470F87" w:rsidRDefault="005F5293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470F87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dic 30 es un 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martes</w:t>
            </w:r>
          </w:p>
          <w:p w14:paraId="5D72A611" w14:textId="77777777" w:rsidR="005F5293" w:rsidRPr="00470F87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20BA6">
              <w:rPr>
                <w:rFonts w:ascii="Segoe UI Symbol" w:hAnsi="Segoe UI Symbol" w:cs="Segoe UI Symbol"/>
                <w:b/>
                <w:bCs/>
                <w:sz w:val="16"/>
                <w:szCs w:val="16"/>
                <w:lang w:val="es-CO"/>
              </w:rPr>
              <w:t>✸✸</w:t>
            </w:r>
            <w:r>
              <w:rPr>
                <w:sz w:val="18"/>
                <w:szCs w:val="18"/>
                <w:lang w:val="es-CO"/>
              </w:rPr>
              <w:t xml:space="preserve"> Precios son por persona</w:t>
            </w:r>
          </w:p>
        </w:tc>
      </w:tr>
    </w:tbl>
    <w:p w14:paraId="1A0AA4B5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55D8427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01 VIE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Washington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br/>
        <w:t>Recepción en el aeropuerto DCA o estación de bus o tren y traslado al hotel. Resto del día libre.</w:t>
      </w:r>
    </w:p>
    <w:p w14:paraId="0FA3A230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391D2FF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02 SAB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Washington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5C584605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03 DOM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Washington / Niagara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Maid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of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the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Mist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Mayo</w:t>
      </w:r>
      <w:proofErr w:type="gram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y Octubre aproximadamente.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Los pasajeros con documentos necesarios para ingresar al Canadá pasaran por su cuenta a las Cataratas de Niagara de lado canadiense recibiendo previa información del guía de lo que pueden hacer allí.</w:t>
      </w:r>
    </w:p>
    <w:p w14:paraId="41830F4C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LUN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Niagara Falls / Boston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5BEEBC83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05 MAR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Boston 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Common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>, y el Mercado Quincy. Tarde libre. Alojamiento.</w:t>
      </w:r>
    </w:p>
    <w:p w14:paraId="70C2C8A0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06 MIE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Boston / Newport / New York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7B97968F" w14:textId="77777777" w:rsidR="005F5293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177F6A5" w14:textId="77777777" w:rsidR="005F5293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23DD3CE" w14:textId="77777777" w:rsidR="005F5293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8F38B0F" w14:textId="77777777" w:rsidR="005F5293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22AA22E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89C8F7B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9395A8B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07 JUE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New York</w:t>
      </w:r>
    </w:p>
    <w:p w14:paraId="18535FE3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Recorrido por la avenida de las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Americas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, el Parque Central, Monumento de Cristóbal Colon, Lincoln Center el edificio Dakota, la Catedral San Juan el Divino, el Barrio Harlem, la 5ta Avenida con sus famosos museos (el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Metropolitan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y el Guggenheim), la casa donde vivió Jacqueline Kennedy, igual que renombradas casas comerciales como Louis Vuitton,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Bergdorf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Empire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State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Building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, 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Flatiron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Building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(la plancha), el barrio Chelsea y el Barrio de los existencialistas Greenwich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Village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Battery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Park; donde ustedes podrán disfrutar de la vista a la Estatua de la Libertad. Resto del día libre.</w:t>
      </w:r>
    </w:p>
    <w:p w14:paraId="519255B0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08 VIE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New York</w:t>
      </w:r>
    </w:p>
    <w:p w14:paraId="75EE330D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A la hora indicada traslado al aeropuerto JFK o LGA. CHECK OUT del hotel deberá ser antes de las 11:00AM.</w:t>
      </w:r>
    </w:p>
    <w:p w14:paraId="4E296C10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62382D9" w14:textId="77777777" w:rsidR="005F5293" w:rsidRPr="00470F87" w:rsidRDefault="005F5293" w:rsidP="005F5293">
      <w:pPr>
        <w:keepLines/>
        <w:spacing w:line="12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B5F7AED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</w:rPr>
      </w:pPr>
      <w:proofErr w:type="spellStart"/>
      <w:r w:rsidRPr="00470F87">
        <w:rPr>
          <w:rFonts w:ascii="Verdana" w:eastAsia="Calibri" w:hAnsi="Verdana" w:cs="Times New Roman"/>
          <w:b/>
          <w:bCs/>
          <w:sz w:val="16"/>
          <w:szCs w:val="16"/>
        </w:rPr>
        <w:t>Hoteles</w:t>
      </w:r>
      <w:proofErr w:type="spellEnd"/>
      <w:r w:rsidRPr="00470F87">
        <w:rPr>
          <w:rFonts w:ascii="Verdana" w:eastAsia="Calibri" w:hAnsi="Verdana" w:cs="Times New Roman"/>
          <w:b/>
          <w:bCs/>
          <w:sz w:val="16"/>
          <w:szCs w:val="16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b/>
          <w:bCs/>
          <w:sz w:val="16"/>
          <w:szCs w:val="16"/>
        </w:rPr>
        <w:t>Seleccionados</w:t>
      </w:r>
      <w:proofErr w:type="spellEnd"/>
    </w:p>
    <w:p w14:paraId="58FBA37F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Washington</w:t>
      </w:r>
      <w:r w:rsidRPr="00470F87">
        <w:rPr>
          <w:rFonts w:ascii="Verdana" w:eastAsia="Calibri" w:hAnsi="Verdana" w:cs="Times New Roman"/>
          <w:sz w:val="16"/>
          <w:szCs w:val="16"/>
        </w:rPr>
        <w:tab/>
        <w:t>Melrose Georgetown Hotel</w:t>
      </w:r>
    </w:p>
    <w:p w14:paraId="48BC3154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Niagara Falls</w:t>
      </w:r>
      <w:r w:rsidRPr="00470F87">
        <w:rPr>
          <w:rFonts w:ascii="Verdana" w:eastAsia="Calibri" w:hAnsi="Verdana" w:cs="Times New Roman"/>
          <w:sz w:val="16"/>
          <w:szCs w:val="16"/>
        </w:rPr>
        <w:tab/>
        <w:t>Sheraton Niagara Falls</w:t>
      </w:r>
    </w:p>
    <w:p w14:paraId="76BD3675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Boston/Quincy</w:t>
      </w:r>
      <w:r w:rsidRPr="00470F87">
        <w:rPr>
          <w:rFonts w:ascii="Verdana" w:eastAsia="Calibri" w:hAnsi="Verdana" w:cs="Times New Roman"/>
          <w:sz w:val="16"/>
          <w:szCs w:val="16"/>
        </w:rPr>
        <w:tab/>
        <w:t>Marriott Boston Quincy</w:t>
      </w:r>
    </w:p>
    <w:p w14:paraId="53DF29A1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Nueva York</w:t>
      </w:r>
      <w:r w:rsidRPr="00470F87">
        <w:rPr>
          <w:rFonts w:ascii="Verdana" w:eastAsia="Calibri" w:hAnsi="Verdana" w:cs="Times New Roman"/>
          <w:sz w:val="16"/>
          <w:szCs w:val="16"/>
        </w:rPr>
        <w:tab/>
        <w:t>The New Yorker, A Wyndham Hotel</w:t>
      </w:r>
    </w:p>
    <w:p w14:paraId="334CDA88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26687377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102270D4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Notas:</w:t>
      </w:r>
    </w:p>
    <w:p w14:paraId="144F2B44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Habitación DBL es con una cama matrimonial; habitación TWIN es con dos camas dobles para dos pasajeros.</w:t>
      </w:r>
    </w:p>
    <w:p w14:paraId="3C3B96A9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Dos adultos más 1 o 2 CHD aplicará la acomodación TWIN+</w:t>
      </w:r>
      <w:proofErr w:type="gram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CHD(</w:t>
      </w:r>
      <w:proofErr w:type="gram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>2)</w:t>
      </w:r>
    </w:p>
    <w:p w14:paraId="550FABC2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Traslado de llegada aeropuerto IAD aumentar p/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pax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$13 en DBL, TWN, TPL, CUAD y CHD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. DCA o IAD vuelos programados a llegar entre las horas 21:00 a 06:30 aumentar $19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por servicio/traslado. </w:t>
      </w:r>
    </w:p>
    <w:p w14:paraId="553D0D90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* Traslados en New York programados entre las horas 22:00 a 06:00 aumentar $13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por persona.</w:t>
      </w:r>
    </w:p>
    <w:p w14:paraId="223E3038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Traslado de salida para EWR aumentar p/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pax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$13 en DBL, $13 en TWN, $11 en TPL, $8 en CUAD, $25 en SGL y $10 en CHD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.</w:t>
      </w:r>
    </w:p>
    <w:p w14:paraId="46CCA531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3EA2244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shd w:val="clear" w:color="auto" w:fill="FFFFFF"/>
          <w:lang w:val="es-CO"/>
        </w:rPr>
        <w:t>Los Precios Incluyen</w:t>
      </w:r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: - 7 noches de alojamiento en hoteles de categoría Primera - 7 desayunos americano - Admisión al barco “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Maid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of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the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Mist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” (entre mayo y octubre) - Guía acompañante de habla hispana durante todo el recorrido - Visitas de Washington, Niagara, Boston, Newport y New York - Visita al Cementerio de Arlington - Traslado de llegada en DCA y salida en JFK/LGA.</w:t>
      </w:r>
    </w:p>
    <w:p w14:paraId="38315FE6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5938C22F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INFORMACION IMPORTANTE: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p w14:paraId="717E77C9" w14:textId="77777777" w:rsidR="005F5293" w:rsidRDefault="005F5293" w:rsidP="005F5293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1BC65DBF" w14:textId="77777777" w:rsidR="005F5293" w:rsidRDefault="005F5293" w:rsidP="005F5293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24072874" w14:textId="77777777" w:rsidR="005F5293" w:rsidRDefault="005F5293" w:rsidP="005F5293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41A7A93B" w14:textId="77777777" w:rsidR="005F5293" w:rsidRDefault="005F5293" w:rsidP="005F5293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58141406" w14:textId="77777777" w:rsidR="005F5293" w:rsidRDefault="005F5293" w:rsidP="005F5293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EC53DAF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93"/>
    <w:rsid w:val="005A5C89"/>
    <w:rsid w:val="005F5293"/>
    <w:rsid w:val="008C00B2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A350"/>
  <w15:chartTrackingRefBased/>
  <w15:docId w15:val="{275B02E3-F25B-49B1-926F-F3BF05A0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293"/>
  </w:style>
  <w:style w:type="paragraph" w:styleId="Heading1">
    <w:name w:val="heading 1"/>
    <w:basedOn w:val="Normal"/>
    <w:next w:val="Normal"/>
    <w:link w:val="Heading1Char"/>
    <w:uiPriority w:val="9"/>
    <w:qFormat/>
    <w:rsid w:val="005F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9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F52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1</cp:revision>
  <dcterms:created xsi:type="dcterms:W3CDTF">2024-10-20T18:50:00Z</dcterms:created>
  <dcterms:modified xsi:type="dcterms:W3CDTF">2024-10-20T18:50:00Z</dcterms:modified>
</cp:coreProperties>
</file>