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422D" w14:textId="0D3DF7D8" w:rsidR="004F2F6A" w:rsidRDefault="004F2F6A" w:rsidP="004F2F6A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bookmarkStart w:id="0" w:name="_Hlk180323199"/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   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PAQUETE </w:t>
      </w:r>
      <w:r w:rsidR="005A07CA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NEW YORK</w:t>
      </w: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</w:t>
      </w:r>
      <w:r w:rsidRPr="004F2F6A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FIN DE AÑO 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#</w:t>
      </w:r>
      <w:r w:rsidR="00DB06D9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2</w:t>
      </w:r>
    </w:p>
    <w:p w14:paraId="77ED4D67" w14:textId="2B2FF1FA" w:rsidR="005A07CA" w:rsidRPr="00820EEF" w:rsidRDefault="004F2F6A" w:rsidP="004F2F6A">
      <w:pPr>
        <w:keepLines/>
        <w:ind w:left="720" w:firstLine="720"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     </w:t>
      </w:r>
      <w:r w:rsidR="00DB06D9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6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días – </w:t>
      </w:r>
      <w:r w:rsidR="00DB06D9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5</w:t>
      </w:r>
      <w:r w:rsidR="005A07CA" w:rsidRPr="004C18D7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 xml:space="preserve"> noches</w:t>
      </w:r>
    </w:p>
    <w:p w14:paraId="65BF6CE4" w14:textId="37AB596C" w:rsidR="005A07CA" w:rsidRPr="00CB79DA" w:rsidRDefault="005A07CA" w:rsidP="005A07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202</w:t>
      </w:r>
      <w:r w:rsidR="00F02105">
        <w:rPr>
          <w:rFonts w:ascii="Verdana" w:hAnsi="Verdana"/>
          <w:b/>
          <w:bCs/>
          <w:sz w:val="16"/>
          <w:szCs w:val="16"/>
          <w:lang w:val="es-CO"/>
        </w:rPr>
        <w:t>5</w:t>
      </w:r>
    </w:p>
    <w:tbl>
      <w:tblPr>
        <w:tblStyle w:val="TableGrid"/>
        <w:tblW w:w="5188" w:type="dxa"/>
        <w:tblLook w:val="04A0" w:firstRow="1" w:lastRow="0" w:firstColumn="1" w:lastColumn="0" w:noHBand="0" w:noVBand="1"/>
      </w:tblPr>
      <w:tblGrid>
        <w:gridCol w:w="5188"/>
      </w:tblGrid>
      <w:tr w:rsidR="005A07CA" w:rsidRPr="00A11276" w14:paraId="4FB5430E" w14:textId="77777777" w:rsidTr="005809AD">
        <w:trPr>
          <w:trHeight w:val="1779"/>
        </w:trPr>
        <w:tc>
          <w:tcPr>
            <w:tcW w:w="5188" w:type="dxa"/>
          </w:tcPr>
          <w:p w14:paraId="7BC1460F" w14:textId="77777777" w:rsidR="005A07CA" w:rsidRPr="00BB7470" w:rsidRDefault="005A07CA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CBF1498" w14:textId="31EDAD13" w:rsidR="004F2F6A" w:rsidRDefault="004F2F6A" w:rsidP="004F2F6A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082E2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67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TWN-$</w:t>
            </w:r>
            <w:r w:rsidR="00082E2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88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TPL-$</w:t>
            </w:r>
            <w:r w:rsidR="00082E28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29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99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SGL$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327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 w:rsidR="00082E28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DB06D9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693C772F" w14:textId="4642D2B5" w:rsidR="005A07CA" w:rsidRPr="00082E28" w:rsidRDefault="004F2F6A" w:rsidP="00082E28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Dic</w:t>
            </w:r>
            <w:r w:rsidRPr="0042624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DB06D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29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</w:p>
        </w:tc>
      </w:tr>
    </w:tbl>
    <w:p w14:paraId="77DA4906" w14:textId="77777777" w:rsidR="005A07CA" w:rsidRPr="00733092" w:rsidRDefault="005A07CA" w:rsidP="005A07CA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C305C53" w14:textId="75B7C134" w:rsidR="005A07CA" w:rsidRDefault="005A07CA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</w:t>
      </w:r>
      <w:r w:rsidR="00C241D1">
        <w:rPr>
          <w:rFonts w:ascii="Verdana" w:hAnsi="Verdana"/>
          <w:b/>
          <w:bCs/>
          <w:sz w:val="16"/>
          <w:szCs w:val="16"/>
          <w:lang w:val="es-CO"/>
        </w:rPr>
        <w:t>IC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DB06D9">
        <w:rPr>
          <w:rFonts w:ascii="Verdana" w:hAnsi="Verdana"/>
          <w:b/>
          <w:bCs/>
          <w:sz w:val="16"/>
          <w:szCs w:val="16"/>
          <w:lang w:val="es-CO"/>
        </w:rPr>
        <w:t>29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DB06D9">
        <w:rPr>
          <w:rFonts w:ascii="Verdana" w:hAnsi="Verdana"/>
          <w:b/>
          <w:bCs/>
          <w:sz w:val="16"/>
          <w:szCs w:val="16"/>
          <w:lang w:val="es-CO"/>
        </w:rPr>
        <w:t>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CO"/>
        </w:rPr>
        <w:t>A su llegada a Nueva York, traslado al hotel, resto del día libre. Alojamiento</w:t>
      </w:r>
    </w:p>
    <w:p w14:paraId="2E1F79E4" w14:textId="77777777" w:rsidR="001229D2" w:rsidRPr="009E0590" w:rsidRDefault="001229D2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</w:p>
    <w:p w14:paraId="3FF04B4C" w14:textId="4A19587F" w:rsidR="00DB06D9" w:rsidRDefault="00DB06D9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DIC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>
        <w:rPr>
          <w:rFonts w:ascii="Verdana" w:hAnsi="Verdana"/>
          <w:b/>
          <w:bCs/>
          <w:sz w:val="16"/>
          <w:szCs w:val="16"/>
          <w:lang w:val="es-CO"/>
        </w:rPr>
        <w:t>0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</w:t>
      </w:r>
      <w:r>
        <w:rPr>
          <w:rFonts w:ascii="Verdana" w:hAnsi="Verdana"/>
          <w:b/>
          <w:bCs/>
          <w:sz w:val="16"/>
          <w:szCs w:val="16"/>
          <w:lang w:val="es-CO"/>
        </w:rPr>
        <w:t>AR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Tour Alto y Bajo Manhattan. Recorrido por la avenida de las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Americas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, el Parque Central, Monumento de Cristóbal Colon, Lincoln Center el edificio Dakota (el edificio donde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vivio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John Lennon y donde fue asesinado), el monumento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Strawberry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Fields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(erigido en memoria del cantante), la Catedral San Juan el Divino (la catedral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mas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grande de Nueva York), el Barrio Harlem, la 5ta Avenida con sus famosos museos (el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Metropolitan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y el Guggenheim), la casa donde vivió Jacqueline Kennedy, igual que renombradas casas comerciales como Louis Vuitton,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Bergdorf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Empire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State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Building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, 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Flatiron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Building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(la plancha), el barrio Chelsea y el Barrio de los existencialistas Greenwich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Village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Battery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Park; donde ustedes podrán disfrutar de la vista a la Estatua de la Libertad. Para regresar a los respectivos hoteles los pasajeros pueden hacerlo por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subway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(metro), autobuses públicos o en taxi. El costo del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subway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o </w:t>
      </w:r>
      <w:proofErr w:type="spellStart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autobus</w:t>
      </w:r>
      <w:proofErr w:type="spellEnd"/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es de $2.90 - $3.00 por persona. Un taxi cobra aproximadamente $15.00 por el servicio. Alojamiento</w:t>
      </w:r>
      <w:r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ia</w:t>
      </w:r>
      <w:proofErr w:type="spellEnd"/>
      <w:r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libre - Además de disfrutar de todas las tradiciones de la ciudad en Nochevieja, ofrecemos cenas a bordo de cruceros especiales, donde podrá admirar los fuegos artificiales desde el río y celebrar la llegada del Año Nuevo con una vista inolvidable del skyline de</w:t>
      </w:r>
    </w:p>
    <w:p w14:paraId="6430A509" w14:textId="4AC0D342" w:rsidR="004F2F6A" w:rsidRDefault="00DB06D9" w:rsidP="005A07CA">
      <w:pPr>
        <w:keepLines/>
        <w:spacing w:line="240" w:lineRule="auto"/>
        <w:rPr>
          <w:rFonts w:ascii="Verdana" w:hAnsi="Verdana"/>
          <w:sz w:val="16"/>
          <w:szCs w:val="16"/>
          <w:shd w:val="clear" w:color="auto" w:fill="F9F9F9"/>
          <w:lang w:val="es-PE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</w:t>
      </w:r>
      <w:r w:rsidR="00C241D1">
        <w:rPr>
          <w:rFonts w:ascii="Verdana" w:hAnsi="Verdana"/>
          <w:b/>
          <w:bCs/>
          <w:sz w:val="16"/>
          <w:szCs w:val="16"/>
          <w:lang w:val="es-CO"/>
        </w:rPr>
        <w:t>IC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C241D1">
        <w:rPr>
          <w:rFonts w:ascii="Verdana" w:hAnsi="Verdana"/>
          <w:b/>
          <w:bCs/>
          <w:sz w:val="16"/>
          <w:szCs w:val="16"/>
          <w:lang w:val="es-CO"/>
        </w:rPr>
        <w:t>31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M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IE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Dia libre - Además de disfrutar de todas las tradiciones de la ciudad en Nochevieja, ofrecemos cenas a bordo de cruceros especiales, donde podrá admirar los fuegos artificiales desde el río y celebrar la llegada del Año Nuevo con una vista inolvidable del skyline de Manhattan. Estas experiencias incluyen cena gourmet, música en vivo y el espectáculo de fuegos artificiales de medianoche. Solicite información para tarifas y reservar su lugar en uno de nuestros exclusivos cruceros. Alojamiento</w:t>
      </w:r>
    </w:p>
    <w:p w14:paraId="03926876" w14:textId="5E8F6119" w:rsidR="004F2F6A" w:rsidRDefault="00C241D1" w:rsidP="005A07CA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ENE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JUE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sz w:val="16"/>
          <w:szCs w:val="16"/>
          <w:lang w:val="es-CO"/>
        </w:rPr>
        <w:br/>
      </w:r>
      <w:r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Dia libre </w:t>
      </w:r>
      <w:r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- </w:t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El primer día del año es ideal para disfrutar de un tranquilo </w:t>
      </w:r>
      <w:proofErr w:type="spellStart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brunch</w:t>
      </w:r>
      <w:proofErr w:type="spellEnd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en algún café de Manhattan y reponer energías tras la noche anterior. Luego, aproveche para visitar museos como el </w:t>
      </w:r>
      <w:proofErr w:type="spellStart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>MoMA</w:t>
      </w:r>
      <w:proofErr w:type="spellEnd"/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o el Museo de Historia Natural, o pasear por Central Park para apreciar sus paisajes invernales. Alojamiento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</w:p>
    <w:p w14:paraId="466BBF8A" w14:textId="28D2BE7D" w:rsidR="005A07CA" w:rsidRDefault="00C241D1" w:rsidP="005A07CA">
      <w:pPr>
        <w:keepLines/>
        <w:spacing w:line="240" w:lineRule="auto"/>
        <w:rPr>
          <w:rFonts w:ascii="Verdana" w:hAnsi="Verdana"/>
          <w:sz w:val="16"/>
          <w:szCs w:val="16"/>
          <w:shd w:val="clear" w:color="auto" w:fill="F9F9F9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ENE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02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VIE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sz w:val="16"/>
          <w:szCs w:val="16"/>
          <w:lang w:val="es-CO"/>
        </w:rPr>
        <w:br/>
      </w:r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Día libre - Aproveche para patinar sobre hielo en Central Park, en Bryant Park o en Rockefeller Center; visita la exposición de trenes en miniatura "Holiday Train </w:t>
      </w:r>
      <w:proofErr w:type="gramStart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Show</w:t>
      </w:r>
      <w:proofErr w:type="gramEnd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" en el Jardín Botánico de Nueva York, con modelos de los principales monumentos de la ciudad; asistir a un espectáculo de Broadway; o toma nuestro Tour Nocturno con </w:t>
      </w:r>
      <w:proofErr w:type="spellStart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Empire</w:t>
      </w:r>
      <w:proofErr w:type="spellEnd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State</w:t>
      </w:r>
      <w:proofErr w:type="spellEnd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</w:t>
      </w:r>
      <w:proofErr w:type="spellStart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>Building</w:t>
      </w:r>
      <w:proofErr w:type="spellEnd"/>
      <w:r w:rsidR="00DB06D9" w:rsidRPr="00DB06D9">
        <w:rPr>
          <w:rFonts w:ascii="Verdana" w:hAnsi="Verdana"/>
          <w:sz w:val="16"/>
          <w:szCs w:val="16"/>
          <w:shd w:val="clear" w:color="auto" w:fill="F9F9F9"/>
          <w:lang w:val="es-PE"/>
        </w:rPr>
        <w:t xml:space="preserve"> que incluye boleto para subir a su mirador. Solicite información sobre tarifas. Alojamiento</w:t>
      </w:r>
    </w:p>
    <w:p w14:paraId="2E9FEEF2" w14:textId="77777777" w:rsidR="005A07CA" w:rsidRDefault="005A07CA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  <w:lang w:val="es-CO"/>
        </w:rPr>
      </w:pPr>
    </w:p>
    <w:p w14:paraId="6CF0D88A" w14:textId="77777777" w:rsidR="00DB06D9" w:rsidRDefault="00DB06D9" w:rsidP="005A07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66B069B" w14:textId="77777777" w:rsidR="00DB06D9" w:rsidRDefault="00DB06D9" w:rsidP="005A07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063AF70" w14:textId="77777777" w:rsidR="00DB06D9" w:rsidRDefault="00DB06D9" w:rsidP="005A07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9A27731" w14:textId="02E96F69" w:rsidR="004F2F6A" w:rsidRPr="004644C1" w:rsidRDefault="00C241D1" w:rsidP="005A07CA">
      <w:pPr>
        <w:keepLines/>
        <w:spacing w:line="240" w:lineRule="auto"/>
        <w:contextualSpacing/>
        <w:rPr>
          <w:rFonts w:ascii="Verdana" w:hAnsi="Verdana"/>
          <w:sz w:val="16"/>
          <w:szCs w:val="16"/>
          <w:shd w:val="clear" w:color="auto" w:fill="F9F9F9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ENE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="005A07CA"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="004F2F6A">
        <w:rPr>
          <w:rFonts w:ascii="Verdana" w:hAnsi="Verdana"/>
          <w:b/>
          <w:bCs/>
          <w:sz w:val="16"/>
          <w:szCs w:val="16"/>
          <w:lang w:val="es-CO"/>
        </w:rPr>
        <w:t>SAB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sz w:val="16"/>
          <w:szCs w:val="16"/>
          <w:lang w:val="es-CO"/>
        </w:rPr>
        <w:t>–</w:t>
      </w:r>
      <w:r w:rsidR="005A07CA"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="005A07CA"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="005A07CA" w:rsidRPr="00B93038">
        <w:rPr>
          <w:rFonts w:ascii="Verdana" w:hAnsi="Verdana"/>
          <w:sz w:val="16"/>
          <w:szCs w:val="16"/>
          <w:lang w:val="es-CO"/>
        </w:rPr>
        <w:br/>
      </w:r>
      <w:r w:rsidR="004F2F6A" w:rsidRPr="004F2F6A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Traslado del hotel al aeropuerto JFK o LGA de acuerdo con la hora de su vuelo. El registro de salida en el hotel se realiza a las 12:00hrs. </w:t>
      </w:r>
      <w:r w:rsidR="004F2F6A" w:rsidRPr="00F02105">
        <w:rPr>
          <w:rFonts w:ascii="Verdana" w:hAnsi="Verdana"/>
          <w:sz w:val="16"/>
          <w:szCs w:val="16"/>
          <w:shd w:val="clear" w:color="auto" w:fill="F9F9F9"/>
        </w:rPr>
        <w:t xml:space="preserve">Fin de los </w:t>
      </w:r>
      <w:proofErr w:type="spellStart"/>
      <w:r w:rsidR="004F2F6A" w:rsidRPr="00F02105">
        <w:rPr>
          <w:rFonts w:ascii="Verdana" w:hAnsi="Verdana"/>
          <w:sz w:val="16"/>
          <w:szCs w:val="16"/>
          <w:shd w:val="clear" w:color="auto" w:fill="F9F9F9"/>
        </w:rPr>
        <w:t>servicios</w:t>
      </w:r>
      <w:proofErr w:type="spellEnd"/>
      <w:r w:rsidR="004F2F6A" w:rsidRPr="00F02105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34E6F536" w14:textId="77777777" w:rsidR="005A07CA" w:rsidRDefault="005A07CA" w:rsidP="005A07CA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</w:rPr>
      </w:pPr>
    </w:p>
    <w:p w14:paraId="02B78D5E" w14:textId="77777777" w:rsidR="004F2F6A" w:rsidRPr="004644C1" w:rsidRDefault="004F2F6A" w:rsidP="005A07CA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</w:rPr>
      </w:pPr>
    </w:p>
    <w:p w14:paraId="1B59E98B" w14:textId="77777777" w:rsidR="005A07CA" w:rsidRPr="004644C1" w:rsidRDefault="005A07CA" w:rsidP="005A07CA">
      <w:pPr>
        <w:keepLines/>
        <w:spacing w:line="120" w:lineRule="auto"/>
        <w:contextualSpacing/>
        <w:rPr>
          <w:rFonts w:ascii="Verdana" w:hAnsi="Verdana"/>
          <w:sz w:val="16"/>
          <w:szCs w:val="16"/>
        </w:rPr>
      </w:pPr>
    </w:p>
    <w:p w14:paraId="63614A91" w14:textId="77777777" w:rsidR="005A07CA" w:rsidRPr="004644C1" w:rsidRDefault="005A07CA" w:rsidP="005A07CA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r w:rsidRPr="004644C1">
        <w:rPr>
          <w:rFonts w:ascii="Verdana" w:hAnsi="Verdana"/>
          <w:b/>
          <w:bCs/>
          <w:sz w:val="16"/>
          <w:szCs w:val="16"/>
        </w:rPr>
        <w:t xml:space="preserve">Hotel </w:t>
      </w:r>
      <w:proofErr w:type="spellStart"/>
      <w:r w:rsidRPr="004644C1">
        <w:rPr>
          <w:rFonts w:ascii="Verdana" w:hAnsi="Verdana"/>
          <w:b/>
          <w:bCs/>
          <w:sz w:val="16"/>
          <w:szCs w:val="16"/>
        </w:rPr>
        <w:t>Seleccionado</w:t>
      </w:r>
      <w:proofErr w:type="spellEnd"/>
    </w:p>
    <w:p w14:paraId="26768B0C" w14:textId="4B6D371C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New York</w:t>
      </w:r>
      <w:r>
        <w:rPr>
          <w:rFonts w:ascii="Verdana" w:hAnsi="Verdana"/>
          <w:sz w:val="16"/>
          <w:szCs w:val="16"/>
        </w:rPr>
        <w:tab/>
      </w:r>
      <w:r w:rsidRPr="004644C1">
        <w:rPr>
          <w:rFonts w:ascii="Verdana" w:hAnsi="Verdana"/>
          <w:sz w:val="16"/>
          <w:szCs w:val="16"/>
        </w:rPr>
        <w:t xml:space="preserve">The New Yorker, </w:t>
      </w:r>
      <w:r w:rsidR="001229D2">
        <w:rPr>
          <w:rFonts w:ascii="Verdana" w:hAnsi="Verdana"/>
          <w:sz w:val="16"/>
          <w:szCs w:val="16"/>
        </w:rPr>
        <w:t>by</w:t>
      </w:r>
      <w:r w:rsidRPr="004644C1">
        <w:rPr>
          <w:rFonts w:ascii="Verdana" w:hAnsi="Verdana"/>
          <w:sz w:val="16"/>
          <w:szCs w:val="16"/>
        </w:rPr>
        <w:t xml:space="preserve"> </w:t>
      </w:r>
      <w:r w:rsidR="001229D2">
        <w:rPr>
          <w:rFonts w:ascii="Verdana" w:hAnsi="Verdana"/>
          <w:sz w:val="16"/>
          <w:szCs w:val="16"/>
        </w:rPr>
        <w:t>Lotte</w:t>
      </w:r>
      <w:r w:rsidRPr="004644C1">
        <w:rPr>
          <w:rFonts w:ascii="Verdana" w:hAnsi="Verdana"/>
          <w:sz w:val="16"/>
          <w:szCs w:val="16"/>
        </w:rPr>
        <w:t xml:space="preserve"> Hotel</w:t>
      </w:r>
      <w:r w:rsidR="001229D2">
        <w:rPr>
          <w:rFonts w:ascii="Verdana" w:hAnsi="Verdana"/>
          <w:sz w:val="16"/>
          <w:szCs w:val="16"/>
        </w:rPr>
        <w:t>s</w:t>
      </w:r>
    </w:p>
    <w:p w14:paraId="2CC11431" w14:textId="77777777" w:rsidR="005A07CA" w:rsidRPr="004644C1" w:rsidRDefault="005A07CA" w:rsidP="005A07CA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0630648F" w14:textId="77777777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</w:p>
    <w:p w14:paraId="098E83BD" w14:textId="77777777" w:rsidR="005A07CA" w:rsidRPr="004644C1" w:rsidRDefault="005A07CA" w:rsidP="005A07CA">
      <w:pPr>
        <w:keepLines/>
        <w:contextualSpacing/>
        <w:rPr>
          <w:rFonts w:ascii="Verdana" w:hAnsi="Verdana"/>
          <w:sz w:val="16"/>
          <w:szCs w:val="16"/>
        </w:rPr>
      </w:pPr>
    </w:p>
    <w:p w14:paraId="2C798575" w14:textId="77777777" w:rsidR="005A07CA" w:rsidRPr="00F02105" w:rsidRDefault="005A07CA" w:rsidP="005A07CA">
      <w:pPr>
        <w:keepLines/>
        <w:spacing w:after="0"/>
        <w:rPr>
          <w:rFonts w:ascii="Verdana" w:hAnsi="Verdana"/>
          <w:b/>
          <w:sz w:val="16"/>
          <w:szCs w:val="16"/>
        </w:rPr>
      </w:pPr>
    </w:p>
    <w:p w14:paraId="4D01B72A" w14:textId="77777777" w:rsidR="005A07CA" w:rsidRPr="009E0590" w:rsidRDefault="005A07CA" w:rsidP="005A07CA">
      <w:pPr>
        <w:keepLines/>
        <w:spacing w:after="0"/>
        <w:rPr>
          <w:rFonts w:ascii="Verdana" w:hAnsi="Verdana"/>
          <w:b/>
          <w:sz w:val="16"/>
          <w:szCs w:val="16"/>
          <w:lang w:val="es-PE"/>
        </w:rPr>
      </w:pPr>
      <w:r w:rsidRPr="009E0590">
        <w:rPr>
          <w:rFonts w:ascii="Verdana" w:hAnsi="Verdana"/>
          <w:b/>
          <w:sz w:val="16"/>
          <w:szCs w:val="16"/>
          <w:lang w:val="es-PE"/>
        </w:rPr>
        <w:t>INCLUIDO:</w:t>
      </w:r>
    </w:p>
    <w:p w14:paraId="60E47F0D" w14:textId="240EF1B5" w:rsidR="00F67B52" w:rsidRDefault="00DB06D9" w:rsidP="005A07CA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>5</w:t>
      </w:r>
      <w:r w:rsidR="00F67B52" w:rsidRPr="00F67B52">
        <w:rPr>
          <w:rFonts w:ascii="Verdana" w:hAnsi="Verdana"/>
          <w:sz w:val="16"/>
          <w:szCs w:val="16"/>
          <w:lang w:val="es-PE"/>
        </w:rPr>
        <w:t xml:space="preserve"> noches de alojamiento en </w:t>
      </w:r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The New </w:t>
      </w:r>
      <w:proofErr w:type="spellStart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>Yorker</w:t>
      </w:r>
      <w:proofErr w:type="spellEnd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, by </w:t>
      </w:r>
      <w:proofErr w:type="spellStart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>Lotte</w:t>
      </w:r>
      <w:proofErr w:type="spellEnd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 </w:t>
      </w:r>
      <w:proofErr w:type="spellStart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>Hotels</w:t>
      </w:r>
      <w:proofErr w:type="spellEnd"/>
      <w:r w:rsidR="00F67B52" w:rsidRPr="00F67B52">
        <w:rPr>
          <w:rFonts w:ascii="Verdana" w:hAnsi="Verdana"/>
          <w:b/>
          <w:bCs/>
          <w:sz w:val="16"/>
          <w:szCs w:val="16"/>
          <w:lang w:val="es-PE"/>
        </w:rPr>
        <w:t xml:space="preserve"> </w:t>
      </w:r>
      <w:r w:rsidR="00F67B52" w:rsidRPr="00F67B52">
        <w:rPr>
          <w:rFonts w:ascii="Verdana" w:hAnsi="Verdana"/>
          <w:sz w:val="16"/>
          <w:szCs w:val="16"/>
          <w:lang w:val="es-PE"/>
        </w:rPr>
        <w:t xml:space="preserve">con impuestos hoteleros y </w:t>
      </w:r>
      <w:proofErr w:type="spellStart"/>
      <w:r w:rsidR="00F67B52" w:rsidRPr="00F67B52">
        <w:rPr>
          <w:rFonts w:ascii="Verdana" w:hAnsi="Verdana"/>
          <w:sz w:val="16"/>
          <w:szCs w:val="16"/>
          <w:lang w:val="es-PE"/>
        </w:rPr>
        <w:t>facility</w:t>
      </w:r>
      <w:proofErr w:type="spellEnd"/>
      <w:r w:rsidR="00F67B52" w:rsidRPr="00F67B52">
        <w:rPr>
          <w:rFonts w:ascii="Verdana" w:hAnsi="Verdana"/>
          <w:sz w:val="16"/>
          <w:szCs w:val="16"/>
          <w:lang w:val="es-PE"/>
        </w:rPr>
        <w:t xml:space="preserve"> fee</w:t>
      </w:r>
      <w:r w:rsidR="00F67B52">
        <w:rPr>
          <w:rFonts w:ascii="Verdana" w:hAnsi="Verdana"/>
          <w:sz w:val="16"/>
          <w:szCs w:val="16"/>
          <w:lang w:val="es-PE"/>
        </w:rPr>
        <w:t xml:space="preserve"> </w:t>
      </w:r>
    </w:p>
    <w:p w14:paraId="648F53B7" w14:textId="213A0F64" w:rsidR="005A07CA" w:rsidRDefault="00F67B52" w:rsidP="00F67B52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F67B52">
        <w:rPr>
          <w:rFonts w:ascii="Verdana" w:hAnsi="Verdana"/>
          <w:sz w:val="16"/>
          <w:szCs w:val="16"/>
          <w:lang w:val="es-PE"/>
        </w:rPr>
        <w:t xml:space="preserve">Traslados aeropuerto JFK/LGA - hotel - aeropuerto JFK/LGA en servicio compartido, en </w:t>
      </w:r>
      <w:r>
        <w:rPr>
          <w:rFonts w:ascii="Verdana" w:hAnsi="Verdana"/>
          <w:sz w:val="16"/>
          <w:szCs w:val="16"/>
          <w:lang w:val="es-PE"/>
        </w:rPr>
        <w:t>horario diurno</w:t>
      </w:r>
    </w:p>
    <w:p w14:paraId="0E0DC97B" w14:textId="73BFD366" w:rsidR="00DB06D9" w:rsidRPr="00F67B52" w:rsidRDefault="00DB06D9" w:rsidP="00F67B52">
      <w:pPr>
        <w:keepLines/>
        <w:numPr>
          <w:ilvl w:val="0"/>
          <w:numId w:val="1"/>
        </w:numPr>
        <w:spacing w:after="0"/>
        <w:rPr>
          <w:rFonts w:ascii="Verdana" w:hAnsi="Verdana"/>
          <w:sz w:val="16"/>
          <w:szCs w:val="16"/>
          <w:lang w:val="es-PE"/>
        </w:rPr>
      </w:pPr>
      <w:r w:rsidRPr="00DB06D9">
        <w:rPr>
          <w:rFonts w:ascii="Verdana" w:hAnsi="Verdana"/>
          <w:sz w:val="16"/>
          <w:szCs w:val="16"/>
          <w:lang w:val="es-PE"/>
        </w:rPr>
        <w:t>Tour Alto y Bajo Manhattan - compartido en nuestra salida programada</w:t>
      </w:r>
    </w:p>
    <w:p w14:paraId="698B7EB3" w14:textId="4F63426F" w:rsidR="005A07CA" w:rsidRPr="009E0590" w:rsidRDefault="005A07CA" w:rsidP="00F67B52">
      <w:pPr>
        <w:keepLines/>
        <w:spacing w:after="0"/>
        <w:rPr>
          <w:rFonts w:ascii="Verdana" w:hAnsi="Verdana"/>
          <w:sz w:val="16"/>
          <w:szCs w:val="16"/>
          <w:lang w:val="es-PE"/>
        </w:rPr>
      </w:pPr>
    </w:p>
    <w:p w14:paraId="178CBCFC" w14:textId="77777777" w:rsidR="00BC0EBE" w:rsidRDefault="00BC0EBE" w:rsidP="00BC0EBE">
      <w:pPr>
        <w:keepLines/>
        <w:spacing w:after="0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0D3ACFEA" w14:textId="3BDA95C9" w:rsidR="00BC0EBE" w:rsidRDefault="00BC0EBE" w:rsidP="00BC0EBE">
      <w:pPr>
        <w:keepLines/>
        <w:spacing w:after="0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Hay un suplemento de USD $13 por persona por vía cuando el vuelo de llegada está programado para llegar entre las 10PM y las 6AM y/o el traslado de salida está programado para recoger en el hotel entre las 10PM y las 6AM. Hay un suplemento de USD $13 por persona por vía para vuelos de EWR. </w:t>
      </w:r>
      <w:r w:rsidR="00A668AE" w:rsidRPr="00A668AE">
        <w:rPr>
          <w:rFonts w:ascii="Verdana" w:hAnsi="Verdana"/>
          <w:sz w:val="16"/>
          <w:szCs w:val="16"/>
        </w:rPr>
        <w:t xml:space="preserve">The New Yorker, by Lotte Hotels no </w:t>
      </w:r>
      <w:proofErr w:type="spellStart"/>
      <w:r w:rsidR="00A668AE" w:rsidRPr="00A668AE">
        <w:rPr>
          <w:rFonts w:ascii="Verdana" w:hAnsi="Verdana"/>
          <w:sz w:val="16"/>
          <w:szCs w:val="16"/>
        </w:rPr>
        <w:t>incluye</w:t>
      </w:r>
      <w:proofErr w:type="spellEnd"/>
      <w:r w:rsidR="00A668AE" w:rsidRPr="00A668AE">
        <w:rPr>
          <w:rFonts w:ascii="Verdana" w:hAnsi="Verdana"/>
          <w:sz w:val="16"/>
          <w:szCs w:val="16"/>
        </w:rPr>
        <w:t xml:space="preserve"> </w:t>
      </w:r>
      <w:proofErr w:type="spellStart"/>
      <w:r w:rsidR="00A668AE" w:rsidRPr="00A668AE">
        <w:rPr>
          <w:rFonts w:ascii="Verdana" w:hAnsi="Verdana"/>
          <w:sz w:val="16"/>
          <w:szCs w:val="16"/>
        </w:rPr>
        <w:t>el</w:t>
      </w:r>
      <w:proofErr w:type="spellEnd"/>
      <w:r w:rsidR="00A668AE" w:rsidRPr="00A668AE">
        <w:rPr>
          <w:rFonts w:ascii="Verdana" w:hAnsi="Verdana"/>
          <w:sz w:val="16"/>
          <w:szCs w:val="16"/>
        </w:rPr>
        <w:t xml:space="preserve"> </w:t>
      </w:r>
      <w:proofErr w:type="spellStart"/>
      <w:r w:rsidR="00A668AE" w:rsidRPr="00A668AE">
        <w:rPr>
          <w:rFonts w:ascii="Verdana" w:hAnsi="Verdana"/>
          <w:sz w:val="16"/>
          <w:szCs w:val="16"/>
        </w:rPr>
        <w:t>desayuno</w:t>
      </w:r>
      <w:proofErr w:type="spellEnd"/>
      <w:r w:rsidR="00A668AE" w:rsidRPr="00A668AE">
        <w:rPr>
          <w:rFonts w:ascii="Verdana" w:hAnsi="Verdana"/>
          <w:sz w:val="16"/>
          <w:szCs w:val="16"/>
        </w:rPr>
        <w:t xml:space="preserve"> Americano. </w:t>
      </w:r>
      <w:r w:rsidR="00A668AE" w:rsidRPr="00A668AE">
        <w:rPr>
          <w:rFonts w:ascii="Verdana" w:hAnsi="Verdana"/>
          <w:sz w:val="16"/>
          <w:szCs w:val="16"/>
          <w:lang w:val="es-CO"/>
        </w:rPr>
        <w:t xml:space="preserve">Si desea el desayuno </w:t>
      </w:r>
      <w:proofErr w:type="gramStart"/>
      <w:r w:rsidR="00A668AE" w:rsidRPr="00A668AE">
        <w:rPr>
          <w:rFonts w:ascii="Verdana" w:hAnsi="Verdana"/>
          <w:sz w:val="16"/>
          <w:szCs w:val="16"/>
          <w:lang w:val="es-CO"/>
        </w:rPr>
        <w:t>Americano</w:t>
      </w:r>
      <w:proofErr w:type="gramEnd"/>
      <w:r w:rsidR="00A668AE" w:rsidRPr="00A668AE">
        <w:rPr>
          <w:rFonts w:ascii="Verdana" w:hAnsi="Verdana"/>
          <w:sz w:val="16"/>
          <w:szCs w:val="16"/>
          <w:lang w:val="es-CO"/>
        </w:rPr>
        <w:t xml:space="preserve"> el suplemento es $27 por persona, por día.</w:t>
      </w:r>
      <w:r w:rsidR="00A668AE">
        <w:rPr>
          <w:rFonts w:ascii="Verdana" w:hAnsi="Verdana"/>
          <w:sz w:val="16"/>
          <w:szCs w:val="16"/>
          <w:lang w:val="es-CO"/>
        </w:rPr>
        <w:t xml:space="preserve"> </w:t>
      </w:r>
      <w:r w:rsidRPr="00BC0EBE">
        <w:rPr>
          <w:rFonts w:ascii="Verdana" w:hAnsi="Verdana"/>
          <w:sz w:val="16"/>
          <w:szCs w:val="16"/>
          <w:lang w:val="es-CO"/>
        </w:rPr>
        <w:t>Habitación DBL es con una cama matrimonial; habitación TWIN es con dos camas dobles para dos pasajeros.</w:t>
      </w:r>
      <w:r w:rsidR="00A668AE">
        <w:rPr>
          <w:rFonts w:ascii="Verdana" w:hAnsi="Verdana"/>
          <w:sz w:val="16"/>
          <w:szCs w:val="16"/>
          <w:lang w:val="es-CO"/>
        </w:rPr>
        <w:t xml:space="preserve"> </w:t>
      </w:r>
      <w:r w:rsidRPr="00BC0EBE">
        <w:rPr>
          <w:rFonts w:ascii="Verdana" w:hAnsi="Verdana"/>
          <w:sz w:val="16"/>
          <w:szCs w:val="16"/>
          <w:lang w:val="es-CO"/>
        </w:rPr>
        <w:t>Dos adultos más 1 o 2 CHD aplicará la acomodación TWIN+CHD(2)</w:t>
      </w:r>
      <w:r>
        <w:rPr>
          <w:rFonts w:ascii="Verdana" w:hAnsi="Verdana"/>
          <w:sz w:val="16"/>
          <w:szCs w:val="16"/>
          <w:lang w:val="es-CO"/>
        </w:rPr>
        <w:t xml:space="preserve">. La </w:t>
      </w:r>
      <w:r w:rsidRPr="009E0590">
        <w:rPr>
          <w:rFonts w:ascii="Verdana" w:hAnsi="Verdana"/>
          <w:sz w:val="16"/>
          <w:szCs w:val="16"/>
          <w:lang w:val="es-PE"/>
        </w:rPr>
        <w:t xml:space="preserve">tarifa para niños (CHD) es aplicable para los menores de 16 </w:t>
      </w:r>
      <w:r>
        <w:rPr>
          <w:rFonts w:ascii="Verdana" w:hAnsi="Verdana"/>
          <w:sz w:val="16"/>
          <w:szCs w:val="16"/>
          <w:lang w:val="es-PE"/>
        </w:rPr>
        <w:t xml:space="preserve">a 2 </w:t>
      </w:r>
      <w:r w:rsidRPr="009E0590">
        <w:rPr>
          <w:rFonts w:ascii="Verdana" w:hAnsi="Verdana"/>
          <w:sz w:val="16"/>
          <w:szCs w:val="16"/>
          <w:lang w:val="es-PE"/>
        </w:rPr>
        <w:t>años acompañados por dos adultos.</w:t>
      </w:r>
      <w:r w:rsidR="00DB06D9" w:rsidRPr="00DB06D9">
        <w:rPr>
          <w:lang w:val="es-CO"/>
        </w:rPr>
        <w:t xml:space="preserve"> </w:t>
      </w:r>
      <w:r w:rsidR="00DB06D9" w:rsidRPr="00DB06D9">
        <w:rPr>
          <w:rFonts w:ascii="Verdana" w:hAnsi="Verdana"/>
          <w:sz w:val="16"/>
          <w:szCs w:val="16"/>
          <w:lang w:val="es-PE"/>
        </w:rPr>
        <w:t>El Tour Alto y Bajo puede ser sustituido por el Tour Contraste. Le informaremos más adelante.</w:t>
      </w:r>
    </w:p>
    <w:p w14:paraId="27889676" w14:textId="77777777" w:rsidR="005A07CA" w:rsidRPr="00BC0EBE" w:rsidRDefault="005A07CA" w:rsidP="005A07CA">
      <w:pPr>
        <w:keepLines/>
        <w:spacing w:after="0"/>
        <w:rPr>
          <w:rFonts w:ascii="Verdana" w:hAnsi="Verdana"/>
          <w:sz w:val="16"/>
          <w:szCs w:val="16"/>
          <w:lang w:val="es-CO"/>
        </w:rPr>
      </w:pPr>
    </w:p>
    <w:p w14:paraId="3E00E2E4" w14:textId="77777777" w:rsidR="005A07CA" w:rsidRDefault="005A07CA" w:rsidP="005A07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30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3</w:t>
      </w:r>
      <w:r w:rsidRPr="00C454AB">
        <w:rPr>
          <w:rFonts w:ascii="Verdana" w:hAnsi="Verdana"/>
          <w:sz w:val="16"/>
          <w:szCs w:val="16"/>
          <w:lang w:val="es-CO"/>
        </w:rPr>
        <w:t>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Si se cancela entre los 2</w:t>
      </w:r>
      <w:r>
        <w:rPr>
          <w:rFonts w:ascii="Verdana" w:hAnsi="Verdana"/>
          <w:sz w:val="16"/>
          <w:szCs w:val="16"/>
          <w:lang w:val="es-CO"/>
        </w:rPr>
        <w:t>9</w:t>
      </w:r>
      <w:r w:rsidRPr="00C454AB">
        <w:rPr>
          <w:rFonts w:ascii="Verdana" w:hAnsi="Verdana"/>
          <w:sz w:val="16"/>
          <w:szCs w:val="16"/>
          <w:lang w:val="es-CO"/>
        </w:rPr>
        <w:t xml:space="preserve"> y los </w:t>
      </w:r>
      <w:r>
        <w:rPr>
          <w:rFonts w:ascii="Verdana" w:hAnsi="Verdana"/>
          <w:sz w:val="16"/>
          <w:szCs w:val="16"/>
          <w:lang w:val="es-CO"/>
        </w:rPr>
        <w:t>15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14</w:t>
      </w:r>
      <w:r w:rsidRPr="00C454AB">
        <w:rPr>
          <w:rFonts w:ascii="Verdana" w:hAnsi="Verdana"/>
          <w:sz w:val="16"/>
          <w:szCs w:val="16"/>
          <w:lang w:val="es-CO"/>
        </w:rPr>
        <w:t xml:space="preserve">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bookmarkEnd w:id="0"/>
    <w:p w14:paraId="1510CF12" w14:textId="77777777" w:rsidR="008C00B2" w:rsidRPr="001229D2" w:rsidRDefault="008C00B2">
      <w:pPr>
        <w:rPr>
          <w:lang w:val="es-CO"/>
        </w:rPr>
      </w:pPr>
    </w:p>
    <w:sectPr w:rsidR="008C00B2" w:rsidRPr="001229D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069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A"/>
    <w:rsid w:val="00082E28"/>
    <w:rsid w:val="001221E1"/>
    <w:rsid w:val="001229D2"/>
    <w:rsid w:val="001401DA"/>
    <w:rsid w:val="001D34EE"/>
    <w:rsid w:val="00215638"/>
    <w:rsid w:val="002C0B4A"/>
    <w:rsid w:val="004041FE"/>
    <w:rsid w:val="004F2F6A"/>
    <w:rsid w:val="00587BA0"/>
    <w:rsid w:val="005A07CA"/>
    <w:rsid w:val="005A5C89"/>
    <w:rsid w:val="008A5AEA"/>
    <w:rsid w:val="008C00B2"/>
    <w:rsid w:val="00901515"/>
    <w:rsid w:val="00A668AE"/>
    <w:rsid w:val="00AF52B5"/>
    <w:rsid w:val="00BC0EBE"/>
    <w:rsid w:val="00C137B6"/>
    <w:rsid w:val="00C241D1"/>
    <w:rsid w:val="00C6709F"/>
    <w:rsid w:val="00CB6C54"/>
    <w:rsid w:val="00D353F6"/>
    <w:rsid w:val="00DB06D9"/>
    <w:rsid w:val="00F02105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9704"/>
  <w15:chartTrackingRefBased/>
  <w15:docId w15:val="{C7373E8B-7A5B-4FA2-A9DD-9A69371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CA"/>
  </w:style>
  <w:style w:type="paragraph" w:styleId="Heading1">
    <w:name w:val="heading 1"/>
    <w:basedOn w:val="Normal"/>
    <w:next w:val="Normal"/>
    <w:link w:val="Heading1Char"/>
    <w:uiPriority w:val="9"/>
    <w:qFormat/>
    <w:rsid w:val="005A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7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7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7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7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7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860</Words>
  <Characters>4111</Characters>
  <Application>Microsoft Office Word</Application>
  <DocSecurity>0</DocSecurity>
  <Lines>171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2</cp:revision>
  <cp:lastPrinted>2025-10-17T11:28:00Z</cp:lastPrinted>
  <dcterms:created xsi:type="dcterms:W3CDTF">2025-10-17T15:26:00Z</dcterms:created>
  <dcterms:modified xsi:type="dcterms:W3CDTF">2025-10-17T15:26:00Z</dcterms:modified>
</cp:coreProperties>
</file>